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A3" w:rsidRPr="00F37A9B" w:rsidRDefault="00F37A9B" w:rsidP="00F37A9B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i/>
          <w:lang w:eastAsia="pt-BR"/>
        </w:rPr>
      </w:pPr>
      <w:r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MERI</w:t>
      </w:r>
      <w:r w:rsidR="00BC0EA3"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 xml:space="preserve">TÍSSIMO </w:t>
      </w:r>
      <w:r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JUIZ</w:t>
      </w:r>
      <w:r w:rsidR="00BC0EA3"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O DA </w:t>
      </w:r>
      <w:r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......</w:t>
      </w:r>
      <w:r w:rsidR="00BC0EA3" w:rsidRPr="00F37A9B">
        <w:rPr>
          <w:rFonts w:ascii="Tahoma" w:eastAsia="Times New Roman" w:hAnsi="Tahoma" w:cs="Tahoma"/>
          <w:b/>
          <w:bCs/>
          <w:i/>
          <w:u w:val="single"/>
          <w:bdr w:val="none" w:sz="0" w:space="0" w:color="auto" w:frame="1"/>
          <w:lang w:eastAsia="pt-BR"/>
        </w:rPr>
        <w:t xml:space="preserve"> VARA CÍVEL</w:t>
      </w:r>
      <w:r w:rsidR="00BC0EA3"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 D</w:t>
      </w:r>
      <w:r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A COMARCA D</w:t>
      </w:r>
      <w:r w:rsidR="00BC0EA3" w:rsidRPr="00F37A9B">
        <w:rPr>
          <w:rFonts w:ascii="Tahoma" w:eastAsia="Times New Roman" w:hAnsi="Tahoma" w:cs="Tahoma"/>
          <w:b/>
          <w:i/>
          <w:bdr w:val="none" w:sz="0" w:space="0" w:color="auto" w:frame="1"/>
          <w:lang w:eastAsia="pt-BR"/>
        </w:rPr>
        <w:t>E</w:t>
      </w:r>
    </w:p>
    <w:p w:rsidR="00BC0EA3" w:rsidRPr="00F37A9B" w:rsidRDefault="00BC0EA3" w:rsidP="00F37A9B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i/>
          <w:lang w:eastAsia="pt-BR"/>
        </w:rPr>
      </w:pP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 </w:t>
      </w:r>
    </w:p>
    <w:p w:rsidR="00BC0EA3" w:rsidRPr="00F37A9B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Ação de Reparação de Danos</w:t>
      </w:r>
    </w:p>
    <w:p w:rsidR="00BC0EA3" w:rsidRPr="00F37A9B" w:rsidRDefault="00F37A9B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Processo</w:t>
      </w:r>
      <w:r w:rsidR="00BC0EA3"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 xml:space="preserve"> nº.  </w:t>
      </w:r>
      <w:r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..............</w:t>
      </w:r>
    </w:p>
    <w:p w:rsidR="00F37A9B" w:rsidRPr="00F37A9B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b/>
          <w:bCs/>
          <w:i/>
          <w:iCs/>
          <w:bdr w:val="none" w:sz="0" w:space="0" w:color="auto" w:frame="1"/>
          <w:lang w:eastAsia="pt-BR"/>
        </w:rPr>
      </w:pPr>
      <w:r w:rsidRPr="00F37A9B">
        <w:rPr>
          <w:rFonts w:ascii="Tahoma" w:eastAsia="Times New Roman" w:hAnsi="Tahoma" w:cs="Tahoma"/>
          <w:b/>
          <w:bCs/>
          <w:i/>
          <w:iCs/>
          <w:bdr w:val="none" w:sz="0" w:space="0" w:color="auto" w:frame="1"/>
          <w:lang w:eastAsia="pt-BR"/>
        </w:rPr>
        <w:t xml:space="preserve">Autor: </w:t>
      </w:r>
      <w:r w:rsidR="00F37A9B" w:rsidRPr="00F37A9B">
        <w:rPr>
          <w:rFonts w:ascii="Tahoma" w:eastAsia="Times New Roman" w:hAnsi="Tahoma" w:cs="Tahoma"/>
          <w:b/>
          <w:bCs/>
          <w:i/>
          <w:iCs/>
          <w:bdr w:val="none" w:sz="0" w:space="0" w:color="auto" w:frame="1"/>
          <w:lang w:eastAsia="pt-BR"/>
        </w:rPr>
        <w:t>.............</w:t>
      </w:r>
    </w:p>
    <w:p w:rsidR="00BC0EA3" w:rsidRPr="00F37A9B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Ré</w:t>
      </w:r>
      <w:r w:rsidR="00F37A9B"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u</w:t>
      </w:r>
      <w:r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 xml:space="preserve">: </w:t>
      </w:r>
      <w:r w:rsidR="00F37A9B" w:rsidRPr="00F37A9B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..........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BC0EA3" w:rsidRDefault="00F37A9B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bdr w:val="none" w:sz="0" w:space="0" w:color="auto" w:frame="1"/>
          <w:lang w:eastAsia="pt-BR"/>
        </w:rPr>
        <w:t>NOME DA PARTE</w:t>
      </w:r>
      <w:r w:rsidR="000E0DDA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AUTORA</w:t>
      </w:r>
      <w:bookmarkStart w:id="0" w:name="_GoBack"/>
      <w:bookmarkEnd w:id="0"/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, já qualificado na peça vestibular, 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>vem respeitosamente, perante esse DD. Juízo, por intermédio de seu procurador, abaixo subscrito</w:t>
      </w: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, 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para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dizer e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requerer o que 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>segue: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F37A9B" w:rsidRDefault="00BC0EA3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Consoante despacho </w:t>
      </w:r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.........(</w:t>
      </w:r>
      <w:proofErr w:type="gramStart"/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fl...</w:t>
      </w:r>
      <w:proofErr w:type="gramEnd"/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dos autos)</w:t>
      </w: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, fora 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designada </w:t>
      </w:r>
      <w:r w:rsidRPr="00F37A9B">
        <w:rPr>
          <w:rFonts w:ascii="Tahoma" w:eastAsia="Times New Roman" w:hAnsi="Tahoma" w:cs="Tahoma"/>
          <w:iCs/>
          <w:bdr w:val="none" w:sz="0" w:space="0" w:color="auto" w:frame="1"/>
          <w:lang w:eastAsia="pt-BR"/>
        </w:rPr>
        <w:t>audiência de instrução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 para o próximo dia</w:t>
      </w:r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....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</w:t>
      </w:r>
      <w:proofErr w:type="gramStart"/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do</w:t>
      </w:r>
      <w:proofErr w:type="gramEnd"/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corrente mês.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BC0EA3" w:rsidRDefault="00F37A9B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bdr w:val="none" w:sz="0" w:space="0" w:color="auto" w:frame="1"/>
          <w:lang w:eastAsia="pt-BR"/>
        </w:rPr>
        <w:t>Vale destacar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que a parte adversa protestou (fl. 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>...dos autos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) pelo depoimento do Autor.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BC0EA3" w:rsidRDefault="00F37A9B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bdr w:val="none" w:sz="0" w:space="0" w:color="auto" w:frame="1"/>
          <w:lang w:eastAsia="pt-BR"/>
        </w:rPr>
        <w:t>Todavia,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</w:t>
      </w:r>
      <w:r w:rsidR="00BC0EA3"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o 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Autor</w:t>
      </w:r>
      <w:r w:rsidR="00BC0EA3"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encontra-se enfermo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o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que se comprova pelo</w:t>
      </w: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atestado médico 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ora incluso 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e, por</w:t>
      </w:r>
      <w:r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essa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razão, não poderá comparecer à audiência de instrução em liça.</w:t>
      </w:r>
    </w:p>
    <w:p w:rsidR="00F37A9B" w:rsidRDefault="00F37A9B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bdr w:val="none" w:sz="0" w:space="0" w:color="auto" w:frame="1"/>
          <w:lang w:eastAsia="pt-BR"/>
        </w:rPr>
      </w:pPr>
    </w:p>
    <w:p w:rsidR="00BC0EA3" w:rsidRPr="00F37A9B" w:rsidRDefault="00BC0EA3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Registre-se, mais, que este pleito processual é formulado </w:t>
      </w:r>
      <w:r w:rsidRPr="00BC0EA3">
        <w:rPr>
          <w:rFonts w:ascii="Tahoma" w:eastAsia="Times New Roman" w:hAnsi="Tahoma" w:cs="Tahoma"/>
          <w:u w:val="single"/>
          <w:bdr w:val="none" w:sz="0" w:space="0" w:color="auto" w:frame="1"/>
          <w:lang w:eastAsia="pt-BR"/>
        </w:rPr>
        <w:t>antes da audiência 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(</w:t>
      </w:r>
      <w:r w:rsidRPr="00F37A9B">
        <w:rPr>
          <w:rFonts w:ascii="Tahoma" w:eastAsia="Times New Roman" w:hAnsi="Tahoma" w:cs="Tahoma"/>
          <w:bCs/>
          <w:i/>
          <w:u w:val="single"/>
          <w:bdr w:val="none" w:sz="0" w:space="0" w:color="auto" w:frame="1"/>
          <w:lang w:eastAsia="pt-BR"/>
        </w:rPr>
        <w:t>NCPC, art. 362, § 1º</w:t>
      </w:r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)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, </w:t>
      </w:r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bem como 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o motivo do pedido se encontra devidamente justificado pela prova ora acostada (</w:t>
      </w:r>
      <w:r w:rsidRPr="00F37A9B">
        <w:rPr>
          <w:rFonts w:ascii="Tahoma" w:eastAsia="Times New Roman" w:hAnsi="Tahoma" w:cs="Tahoma"/>
          <w:bCs/>
          <w:i/>
          <w:u w:val="single"/>
          <w:bdr w:val="none" w:sz="0" w:space="0" w:color="auto" w:frame="1"/>
          <w:lang w:eastAsia="pt-BR"/>
        </w:rPr>
        <w:t>NCPC, art. 362, inc. II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).</w:t>
      </w:r>
    </w:p>
    <w:p w:rsidR="00BC0EA3" w:rsidRPr="00F37A9B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BC0EA3" w:rsidRDefault="00BC0EA3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No tocante ao tema em relevo, vejamos as lições de </w:t>
      </w:r>
      <w:proofErr w:type="spellStart"/>
      <w:r w:rsidRPr="00BC0EA3">
        <w:rPr>
          <w:rFonts w:ascii="Tahoma" w:eastAsia="Times New Roman" w:hAnsi="Tahoma" w:cs="Tahoma"/>
          <w:b/>
          <w:bCs/>
          <w:bdr w:val="none" w:sz="0" w:space="0" w:color="auto" w:frame="1"/>
          <w:lang w:eastAsia="pt-BR"/>
        </w:rPr>
        <w:t>Fredie</w:t>
      </w:r>
      <w:proofErr w:type="spellEnd"/>
      <w:r w:rsidRPr="00BC0EA3">
        <w:rPr>
          <w:rFonts w:ascii="Tahoma" w:eastAsia="Times New Roman" w:hAnsi="Tahoma" w:cs="Tahoma"/>
          <w:b/>
          <w:bCs/>
          <w:bdr w:val="none" w:sz="0" w:space="0" w:color="auto" w:frame="1"/>
          <w:lang w:eastAsia="pt-BR"/>
        </w:rPr>
        <w:t xml:space="preserve"> Didier Júnior</w:t>
      </w: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: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F37A9B" w:rsidRDefault="00BC0EA3" w:rsidP="00F37A9B">
      <w:pPr>
        <w:shd w:val="clear" w:color="auto" w:fill="F2F2F2"/>
        <w:spacing w:after="0" w:line="360" w:lineRule="auto"/>
        <w:ind w:left="2268"/>
        <w:jc w:val="both"/>
        <w:textAlignment w:val="baseline"/>
        <w:rPr>
          <w:rFonts w:ascii="Tahoma" w:eastAsia="Times New Roman" w:hAnsi="Tahoma" w:cs="Tahoma"/>
          <w:lang w:eastAsia="pt-BR"/>
        </w:rPr>
      </w:pPr>
      <w:proofErr w:type="gramStart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“  </w:t>
      </w:r>
      <w:proofErr w:type="gramEnd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        O art. 362, CPC, prevê, contudo, a possibilidade de </w:t>
      </w:r>
      <w:r w:rsidRPr="00F37A9B">
        <w:rPr>
          <w:rFonts w:ascii="Tahoma" w:eastAsia="Times New Roman" w:hAnsi="Tahoma" w:cs="Tahoma"/>
          <w:i/>
          <w:iCs/>
          <w:bdr w:val="none" w:sz="0" w:space="0" w:color="auto" w:frame="1"/>
          <w:lang w:eastAsia="pt-BR"/>
        </w:rPr>
        <w:t>adiamento </w:t>
      </w:r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da audiência, em três hipóteses: i) por </w:t>
      </w:r>
      <w:r w:rsidRPr="00F37A9B">
        <w:rPr>
          <w:rFonts w:ascii="Tahoma" w:eastAsia="Times New Roman" w:hAnsi="Tahoma" w:cs="Tahoma"/>
          <w:i/>
          <w:iCs/>
          <w:bdr w:val="none" w:sz="0" w:space="0" w:color="auto" w:frame="1"/>
          <w:lang w:eastAsia="pt-BR"/>
        </w:rPr>
        <w:t>convenção das </w:t>
      </w:r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partes; </w:t>
      </w:r>
      <w:proofErr w:type="spellStart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ii</w:t>
      </w:r>
      <w:proofErr w:type="spellEnd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) pela </w:t>
      </w:r>
      <w:r w:rsidRPr="00F37A9B">
        <w:rPr>
          <w:rFonts w:ascii="Tahoma" w:eastAsia="Times New Roman" w:hAnsi="Tahoma" w:cs="Tahoma"/>
          <w:i/>
          <w:iCs/>
          <w:bdr w:val="none" w:sz="0" w:space="0" w:color="auto" w:frame="1"/>
          <w:lang w:eastAsia="pt-BR"/>
        </w:rPr>
        <w:t>ausência de sujeitos do processo </w:t>
      </w:r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que necessariamente deveriam fazer parte da ausência – nesse caso, </w:t>
      </w:r>
      <w:r w:rsidRPr="00F37A9B">
        <w:rPr>
          <w:rFonts w:ascii="Tahoma" w:eastAsia="Times New Roman" w:hAnsi="Tahoma" w:cs="Tahoma"/>
          <w:i/>
          <w:u w:val="single"/>
          <w:bdr w:val="none" w:sz="0" w:space="0" w:color="auto" w:frame="1"/>
          <w:lang w:eastAsia="pt-BR"/>
        </w:rPr>
        <w:t>é preciso que haja motivo justificado para o adiamento, comprovado até a abertura da audiência</w:t>
      </w:r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 (art. 362, § 1º, CPC) ... </w:t>
      </w:r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lastRenderedPageBreak/>
        <w:t xml:space="preserve">“. (DIDIER JÚNIOR, </w:t>
      </w:r>
      <w:proofErr w:type="spellStart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Fredie</w:t>
      </w:r>
      <w:proofErr w:type="spellEnd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. </w:t>
      </w:r>
      <w:r w:rsidRPr="00F37A9B">
        <w:rPr>
          <w:rFonts w:ascii="Tahoma" w:eastAsia="Times New Roman" w:hAnsi="Tahoma" w:cs="Tahoma"/>
          <w:i/>
          <w:iCs/>
          <w:bdr w:val="none" w:sz="0" w:space="0" w:color="auto" w:frame="1"/>
          <w:lang w:eastAsia="pt-BR"/>
        </w:rPr>
        <w:t>Curso de Direito Processual Civil – vol. 02, Reescrito com base no NOVO CPC</w:t>
      </w:r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. 10ª Ed. Salvador: </w:t>
      </w:r>
      <w:proofErr w:type="spellStart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JusPodvm</w:t>
      </w:r>
      <w:proofErr w:type="spellEnd"/>
      <w:r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, 2015)</w:t>
      </w:r>
      <w:r w:rsid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.” 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(</w:t>
      </w:r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Grifou-se</w:t>
      </w:r>
      <w:r w:rsidRPr="00F37A9B">
        <w:rPr>
          <w:rFonts w:ascii="Tahoma" w:eastAsia="Times New Roman" w:hAnsi="Tahoma" w:cs="Tahoma"/>
          <w:bdr w:val="none" w:sz="0" w:space="0" w:color="auto" w:frame="1"/>
          <w:lang w:eastAsia="pt-BR"/>
        </w:rPr>
        <w:t>)</w:t>
      </w:r>
      <w:r w:rsidR="00F37A9B">
        <w:rPr>
          <w:rFonts w:ascii="Tahoma" w:eastAsia="Times New Roman" w:hAnsi="Tahoma" w:cs="Tahoma"/>
          <w:bdr w:val="none" w:sz="0" w:space="0" w:color="auto" w:frame="1"/>
          <w:lang w:eastAsia="pt-BR"/>
        </w:rPr>
        <w:t>.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                                             </w:t>
      </w:r>
    </w:p>
    <w:p w:rsidR="00BC0EA3" w:rsidRPr="00BC0EA3" w:rsidRDefault="000E0DDA" w:rsidP="00F37A9B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bdr w:val="none" w:sz="0" w:space="0" w:color="auto" w:frame="1"/>
          <w:lang w:eastAsia="pt-BR"/>
        </w:rPr>
        <w:t>É de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</w:t>
      </w:r>
      <w:proofErr w:type="gramStart"/>
      <w:r w:rsidR="00BC0EA3" w:rsidRPr="00F37A9B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mister</w:t>
      </w:r>
      <w:r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 </w:t>
      </w:r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trazer</w:t>
      </w:r>
      <w:proofErr w:type="gramEnd"/>
      <w:r w:rsidR="00BC0EA3"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 xml:space="preserve"> à colação o seguinte julgado:</w:t>
      </w:r>
    </w:p>
    <w:p w:rsidR="00BC0EA3" w:rsidRP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lang w:eastAsia="pt-BR"/>
        </w:rPr>
      </w:pPr>
      <w:r w:rsidRPr="00BC0EA3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AGRAVO DE INSTRUMENTO. DIREITOS DE VIZINHANÇA. AÇÃO DECLARATÓRIA. AUDIÊNCIA DE INSTRUÇÃO E JULGAMENTO. ADIAMENTO. POSSIBILIDADE. ART. 453 DO CÓDIGO DE PROCESSO CIVIL.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Demonstração satisfatória da existência de motivo justificado para a impossibilidade de comparecimento da única advogada de uma das partes à solenidade. Audiência de instrução previamente designada em processo no qual a causídica é, também, a única advogada de uma das partes. Recurso provido por decisão monocrática do relator. (TJRS; AI 0076445-30.2015.8.21.7000; Arvorezinha; Décima Oitava Câmara Cível; Rel. Des. Pedro Celso Dal Pra; </w:t>
      </w:r>
      <w:proofErr w:type="spellStart"/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Julg</w:t>
      </w:r>
      <w:proofErr w:type="spellEnd"/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. 18/03/2015; DJERS 23/03/2015)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 w:hanging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 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b/>
          <w:bCs/>
          <w:i/>
          <w:bdr w:val="none" w:sz="0" w:space="0" w:color="auto" w:frame="1"/>
          <w:lang w:eastAsia="pt-BR"/>
        </w:rPr>
        <w:t>CIVIL E PROCESSO CIVIL.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Agravo de instrumento. Ação de divórcio litigioso cumulada com alimentos. Decisão que indeferiu o pedido de </w:t>
      </w:r>
      <w:proofErr w:type="spellStart"/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reaprazamento</w:t>
      </w:r>
      <w:proofErr w:type="spellEnd"/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 xml:space="preserve"> de audiência de instrução. Policial militar. Alegação de impossibilidade de comparecer ao ato judicial por se encontrar em serviço no dia e hora da audiência. Justificativa intempestiva. A audiência poderá ser adiada se a ela não puderem comparecer, por motivo justificado, o perito, as partes, as testemunhas ou os advogados. Inteligência do art. 453, II, do CPC. O parágrafo 1º do art. 453 determina que incumbe ao advogado provar o impedimento até a abertura da audiência; não o fazendo, o juiz procederá à instrução. Recurso conhecido e desprovido. (TJRN; AI 2014.021525-7; Natal; Primeira Câmara Cível; Rel. Des. Dilermando Mota; DJRN 18/03/2015)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 w:hanging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lastRenderedPageBreak/>
        <w:t> </w:t>
      </w:r>
    </w:p>
    <w:p w:rsidR="00BC0EA3" w:rsidRPr="000E0DDA" w:rsidRDefault="00BC0EA3" w:rsidP="000E0DDA">
      <w:pPr>
        <w:shd w:val="clear" w:color="auto" w:fill="FFFFFF"/>
        <w:spacing w:after="0" w:line="360" w:lineRule="auto"/>
        <w:ind w:left="2268" w:hanging="2268"/>
        <w:jc w:val="both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 </w:t>
      </w:r>
    </w:p>
    <w:p w:rsidR="00BC0EA3" w:rsidRPr="000E0DDA" w:rsidRDefault="000E0DDA" w:rsidP="000E0DDA">
      <w:pPr>
        <w:shd w:val="clear" w:color="auto" w:fill="FFFFFF"/>
        <w:spacing w:after="0" w:line="360" w:lineRule="auto"/>
        <w:ind w:firstLine="2268"/>
        <w:jc w:val="both"/>
        <w:textAlignment w:val="baseline"/>
        <w:rPr>
          <w:rFonts w:ascii="Tahoma" w:eastAsia="Times New Roman" w:hAnsi="Tahoma" w:cs="Tahoma"/>
          <w:lang w:eastAsia="pt-BR"/>
        </w:rPr>
      </w:pPr>
      <w:r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>Por fim</w:t>
      </w:r>
      <w:r w:rsidR="00BC0EA3" w:rsidRPr="000E0DDA"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 xml:space="preserve">, o Autor </w:t>
      </w:r>
      <w:r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>requer</w:t>
      </w:r>
      <w:r w:rsidR="00BC0EA3" w:rsidRPr="000E0DDA"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 xml:space="preserve"> seja designada </w:t>
      </w:r>
      <w:r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 xml:space="preserve">nova </w:t>
      </w:r>
      <w:r w:rsidR="00BC0EA3" w:rsidRPr="000E0DDA"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>data para a realização de audiência de instrução, com</w:t>
      </w:r>
      <w:r w:rsidR="00BC0EA3" w:rsidRPr="00BC0EA3">
        <w:rPr>
          <w:rFonts w:ascii="Tahoma" w:eastAsia="Times New Roman" w:hAnsi="Tahoma" w:cs="Tahoma"/>
          <w:b/>
          <w:bCs/>
          <w:bdr w:val="none" w:sz="0" w:space="0" w:color="auto" w:frame="1"/>
          <w:lang w:eastAsia="pt-BR"/>
        </w:rPr>
        <w:t xml:space="preserve"> </w:t>
      </w:r>
      <w:r w:rsidR="00BC0EA3" w:rsidRPr="000E0DDA"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>as</w:t>
      </w:r>
      <w:r>
        <w:rPr>
          <w:rFonts w:ascii="Tahoma" w:eastAsia="Times New Roman" w:hAnsi="Tahoma" w:cs="Tahoma"/>
          <w:bCs/>
          <w:bdr w:val="none" w:sz="0" w:space="0" w:color="auto" w:frame="1"/>
          <w:lang w:eastAsia="pt-BR"/>
        </w:rPr>
        <w:t xml:space="preserve"> respectivas intimações</w:t>
      </w:r>
      <w:r w:rsidR="00BC0EA3" w:rsidRPr="000E0DDA">
        <w:rPr>
          <w:rFonts w:ascii="Tahoma" w:eastAsia="Times New Roman" w:hAnsi="Tahoma" w:cs="Tahoma"/>
          <w:bdr w:val="none" w:sz="0" w:space="0" w:color="auto" w:frame="1"/>
          <w:lang w:eastAsia="pt-BR"/>
        </w:rPr>
        <w:t>.  </w:t>
      </w:r>
    </w:p>
    <w:p w:rsidR="00BC0EA3" w:rsidRDefault="00BC0EA3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bdr w:val="none" w:sz="0" w:space="0" w:color="auto" w:frame="1"/>
          <w:lang w:eastAsia="pt-BR"/>
        </w:rPr>
      </w:pPr>
      <w:r w:rsidRPr="000E0DDA">
        <w:rPr>
          <w:rFonts w:ascii="Tahoma" w:eastAsia="Times New Roman" w:hAnsi="Tahoma" w:cs="Tahoma"/>
          <w:bdr w:val="none" w:sz="0" w:space="0" w:color="auto" w:frame="1"/>
          <w:lang w:eastAsia="pt-BR"/>
        </w:rPr>
        <w:t> </w:t>
      </w:r>
    </w:p>
    <w:p w:rsidR="000E0DDA" w:rsidRDefault="000E0DDA" w:rsidP="00BC0EA3">
      <w:pPr>
        <w:shd w:val="clear" w:color="auto" w:fill="FFFFFF"/>
        <w:spacing w:after="0" w:line="360" w:lineRule="auto"/>
        <w:jc w:val="both"/>
        <w:textAlignment w:val="baseline"/>
        <w:rPr>
          <w:rFonts w:ascii="Tahoma" w:eastAsia="Times New Roman" w:hAnsi="Tahoma" w:cs="Tahoma"/>
          <w:bdr w:val="none" w:sz="0" w:space="0" w:color="auto" w:frame="1"/>
          <w:lang w:eastAsia="pt-BR"/>
        </w:rPr>
      </w:pPr>
    </w:p>
    <w:p w:rsid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bdr w:val="none" w:sz="0" w:space="0" w:color="auto" w:frame="1"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NESTES TERMOS,</w:t>
      </w:r>
    </w:p>
    <w:p w:rsidR="000E0DDA" w:rsidRP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bdr w:val="none" w:sz="0" w:space="0" w:color="auto" w:frame="1"/>
          <w:lang w:eastAsia="pt-BR"/>
        </w:rPr>
      </w:pPr>
    </w:p>
    <w:p w:rsid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bdr w:val="none" w:sz="0" w:space="0" w:color="auto" w:frame="1"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PEDE DEFERIMENTO.</w:t>
      </w:r>
    </w:p>
    <w:p w:rsidR="000E0DDA" w:rsidRP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bdr w:val="none" w:sz="0" w:space="0" w:color="auto" w:frame="1"/>
          <w:lang w:eastAsia="pt-BR"/>
        </w:rPr>
      </w:pPr>
    </w:p>
    <w:p w:rsid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bdr w:val="none" w:sz="0" w:space="0" w:color="auto" w:frame="1"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LOCAL E DATA</w:t>
      </w:r>
    </w:p>
    <w:p w:rsidR="000E0DDA" w:rsidRP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bdr w:val="none" w:sz="0" w:space="0" w:color="auto" w:frame="1"/>
          <w:lang w:eastAsia="pt-BR"/>
        </w:rPr>
      </w:pPr>
    </w:p>
    <w:p w:rsidR="000E0DDA" w:rsidRPr="000E0DDA" w:rsidRDefault="000E0DDA" w:rsidP="000E0DDA">
      <w:pPr>
        <w:shd w:val="clear" w:color="auto" w:fill="FFFFFF"/>
        <w:spacing w:after="0" w:line="360" w:lineRule="auto"/>
        <w:jc w:val="center"/>
        <w:textAlignment w:val="baseline"/>
        <w:rPr>
          <w:rFonts w:ascii="Tahoma" w:eastAsia="Times New Roman" w:hAnsi="Tahoma" w:cs="Tahoma"/>
          <w:i/>
          <w:lang w:eastAsia="pt-BR"/>
        </w:rPr>
      </w:pPr>
      <w:r w:rsidRPr="000E0DDA">
        <w:rPr>
          <w:rFonts w:ascii="Tahoma" w:eastAsia="Times New Roman" w:hAnsi="Tahoma" w:cs="Tahoma"/>
          <w:i/>
          <w:bdr w:val="none" w:sz="0" w:space="0" w:color="auto" w:frame="1"/>
          <w:lang w:eastAsia="pt-BR"/>
        </w:rPr>
        <w:t>ADVOGADO - OAB</w:t>
      </w:r>
    </w:p>
    <w:p w:rsidR="00E767A3" w:rsidRPr="000E0DDA" w:rsidRDefault="00E767A3" w:rsidP="00BC0EA3">
      <w:pPr>
        <w:spacing w:line="360" w:lineRule="auto"/>
        <w:jc w:val="both"/>
        <w:rPr>
          <w:rFonts w:ascii="Tahoma" w:hAnsi="Tahoma" w:cs="Tahoma"/>
        </w:rPr>
      </w:pPr>
    </w:p>
    <w:sectPr w:rsidR="00E767A3" w:rsidRPr="000E0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A3"/>
    <w:rsid w:val="000E0DDA"/>
    <w:rsid w:val="00BC0EA3"/>
    <w:rsid w:val="00E767A3"/>
    <w:rsid w:val="00F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0EAF-6459-4099-A07A-371B8100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5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392651701">
          <w:marLeft w:val="72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347492593">
          <w:marLeft w:val="72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  <w:div w:id="1113478892">
          <w:marLeft w:val="720"/>
          <w:marRight w:val="0"/>
          <w:marTop w:val="0"/>
          <w:marBottom w:val="0"/>
          <w:divBdr>
            <w:top w:val="none" w:sz="0" w:space="0" w:color="auto"/>
            <w:left w:val="single" w:sz="8" w:space="4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2018-04-02T21:07:00Z</dcterms:created>
  <dcterms:modified xsi:type="dcterms:W3CDTF">2018-04-02T21:07:00Z</dcterms:modified>
</cp:coreProperties>
</file>